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3010" w14:textId="77777777" w:rsidR="00F11256" w:rsidRPr="00A10479" w:rsidRDefault="00000000">
      <w:pPr>
        <w:spacing w:beforeAutospacing="1" w:afterAutospacing="1"/>
        <w:outlineLvl w:val="1"/>
        <w:rPr>
          <w:rFonts w:ascii="Times New Roman" w:eastAsia="Times New Roman" w:hAnsi="Times New Roman" w:cs="Times New Roman"/>
          <w:b/>
          <w:bCs/>
          <w:sz w:val="36"/>
          <w:szCs w:val="36"/>
        </w:rPr>
      </w:pPr>
      <w:r w:rsidRPr="00A10479">
        <w:rPr>
          <w:rFonts w:ascii="Times New Roman" w:eastAsia="Times New Roman" w:hAnsi="Times New Roman" w:cs="Times New Roman"/>
          <w:b/>
          <w:bCs/>
          <w:sz w:val="36"/>
          <w:szCs w:val="36"/>
        </w:rPr>
        <w:t>Penn State Altoona Promotion and Tenure Policy</w:t>
      </w:r>
    </w:p>
    <w:p w14:paraId="2DEACAA1"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 xml:space="preserve">The Pennsylvania State University policy governing promotion and tenure (AC23) states that promotion and tenure decisions shall be based on criteria applied </w:t>
      </w:r>
      <w:proofErr w:type="gramStart"/>
      <w:r w:rsidRPr="00A10479">
        <w:rPr>
          <w:rFonts w:ascii="Times New Roman" w:eastAsia="Times New Roman" w:hAnsi="Times New Roman" w:cs="Times New Roman"/>
        </w:rPr>
        <w:t>in light of</w:t>
      </w:r>
      <w:proofErr w:type="gramEnd"/>
      <w:r w:rsidRPr="00A10479">
        <w:rPr>
          <w:rFonts w:ascii="Times New Roman" w:eastAsia="Times New Roman" w:hAnsi="Times New Roman" w:cs="Times New Roman"/>
        </w:rPr>
        <w:t xml:space="preserve"> the mission of the academic unit and the professional responsibilities carried by the faculty member. The University criteria have purposely been made general in the expectation of further definition and elaboration by each academic unit. The purpose of this document is to delineate the expectations and standards for tenure and promotion at Altoona College. This document should be read in the context of the broader procedures and standards of the University. Knowledge concerning the expectations and standards contained in this document should be generally available, especially to newly appointed faculty members. The criteria presented in this document are widely applicable to the variety of disciplines represented by the faculty at Altoona College.</w:t>
      </w:r>
    </w:p>
    <w:p w14:paraId="236C3CDC"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The promotion and tenure policies of Altoona College should contribute to academic excellence and should also be consistent with the College’s mission of providing a high-quality education for its students; fostering research, creative activity, and scholarship; and enhancing the intellectual, cultural, and economic lives of the community. (The Altoona College mission statement in its entirety can be found in the Strategic Planning Report.)</w:t>
      </w:r>
    </w:p>
    <w:p w14:paraId="0A678A82"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Altoona College provides a university degree in a small college setting, and thus combines the teaching and service standards of a small college with the research and scholarship activities of a university. An understanding of this dual role is essential to the tenure and promotion process at Altoona College. Innovative solutions to the challenges inherent in this special combination are encouraged.</w:t>
      </w:r>
    </w:p>
    <w:p w14:paraId="413954C0" w14:textId="77777777" w:rsidR="00F11256" w:rsidRPr="00A10479" w:rsidRDefault="00000000">
      <w:pPr>
        <w:spacing w:beforeAutospacing="1" w:afterAutospacing="1"/>
        <w:outlineLvl w:val="2"/>
        <w:rPr>
          <w:rFonts w:ascii="Times New Roman" w:eastAsia="Times New Roman" w:hAnsi="Times New Roman" w:cs="Times New Roman"/>
          <w:b/>
          <w:bCs/>
          <w:sz w:val="27"/>
          <w:szCs w:val="27"/>
        </w:rPr>
      </w:pPr>
      <w:r w:rsidRPr="00A10479">
        <w:rPr>
          <w:rFonts w:ascii="Times New Roman" w:eastAsia="Times New Roman" w:hAnsi="Times New Roman" w:cs="Times New Roman"/>
          <w:b/>
          <w:bCs/>
          <w:sz w:val="27"/>
          <w:szCs w:val="27"/>
        </w:rPr>
        <w:t>Levels of Review</w:t>
      </w:r>
    </w:p>
    <w:p w14:paraId="4F751414"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 xml:space="preserve">Each Altoona College faculty member holds an appointment in one of the academic divisions of the College, currently: Arts and Humanities; Mathematics and Natural Sciences; Business and Engineering; Education, Human Development and Social Sciences; and the </w:t>
      </w:r>
      <w:proofErr w:type="gramStart"/>
      <w:r w:rsidRPr="00A10479">
        <w:rPr>
          <w:rFonts w:ascii="Times New Roman" w:eastAsia="Times New Roman" w:hAnsi="Times New Roman" w:cs="Times New Roman"/>
        </w:rPr>
        <w:t>Library</w:t>
      </w:r>
      <w:proofErr w:type="gramEnd"/>
      <w:r w:rsidRPr="00A10479">
        <w:rPr>
          <w:rFonts w:ascii="Times New Roman" w:eastAsia="Times New Roman" w:hAnsi="Times New Roman" w:cs="Times New Roman"/>
        </w:rPr>
        <w:t>. The initial review of a candidate for tenure and/or promotion within Altoona College takes place at the academic division level. It is at the academic division level that specific criteria are presented and evaluated. Each academic division may therefore further define the specific criteria for tenure and promotion in a manner compatible with the general standards set by the University and Altoona College. The college-level of review will bring broader faculty and administrative judgment to bear and will also monitor general standards of quality and equity of academic division policies and procedures.</w:t>
      </w:r>
    </w:p>
    <w:p w14:paraId="5990244C" w14:textId="77777777" w:rsidR="00F11256" w:rsidRPr="00A10479" w:rsidRDefault="00000000">
      <w:pPr>
        <w:spacing w:beforeAutospacing="1" w:afterAutospacing="1"/>
        <w:outlineLvl w:val="2"/>
        <w:rPr>
          <w:rFonts w:ascii="Times New Roman" w:eastAsia="Times New Roman" w:hAnsi="Times New Roman" w:cs="Times New Roman"/>
          <w:b/>
          <w:bCs/>
          <w:sz w:val="27"/>
          <w:szCs w:val="27"/>
        </w:rPr>
      </w:pPr>
      <w:r w:rsidRPr="00A10479">
        <w:rPr>
          <w:rFonts w:ascii="Times New Roman" w:eastAsia="Times New Roman" w:hAnsi="Times New Roman" w:cs="Times New Roman"/>
          <w:b/>
          <w:bCs/>
          <w:sz w:val="27"/>
          <w:szCs w:val="27"/>
        </w:rPr>
        <w:t>Criteria for Tenure and Promotion</w:t>
      </w:r>
    </w:p>
    <w:p w14:paraId="09CD5A12"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 xml:space="preserve">Faculty members of Altoona College become eligible for tenure and/or promotion when they fulfill the norms specified in The Pennsylvania State University policy (AC23). </w:t>
      </w:r>
      <w:proofErr w:type="gramStart"/>
      <w:r w:rsidRPr="00A10479">
        <w:rPr>
          <w:rFonts w:ascii="Times New Roman" w:eastAsia="Times New Roman" w:hAnsi="Times New Roman" w:cs="Times New Roman"/>
        </w:rPr>
        <w:t>With the exception of</w:t>
      </w:r>
      <w:proofErr w:type="gramEnd"/>
      <w:r w:rsidRPr="00A10479">
        <w:rPr>
          <w:rFonts w:ascii="Times New Roman" w:eastAsia="Times New Roman" w:hAnsi="Times New Roman" w:cs="Times New Roman"/>
        </w:rPr>
        <w:t xml:space="preserve"> Altoona Library faculty, the criteria for this evaluation embrace three distinct but interrelated areas: the scholarship of teaching and learning; the scholarship of research and creative accomplishments; and service and the scholarship of service to the University, society, and the profession. Evaluation of librarians includes a fourth criterion: librarianship ability and </w:t>
      </w:r>
      <w:r w:rsidRPr="00A10479">
        <w:rPr>
          <w:rFonts w:ascii="Times New Roman" w:eastAsia="Times New Roman" w:hAnsi="Times New Roman" w:cs="Times New Roman"/>
        </w:rPr>
        <w:lastRenderedPageBreak/>
        <w:t>effectiveness as detailed in Promotion and Tenure criteria for the University Libraries. The Altoona College values continuing activities in each of these areas.</w:t>
      </w:r>
    </w:p>
    <w:p w14:paraId="26050B94" w14:textId="51FA1018" w:rsidR="00F11256" w:rsidRPr="00A10479" w:rsidRDefault="00000000" w:rsidP="1840FEAE">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 xml:space="preserve">A candidate for tenure and/or promotion to Associate Professor must meet the criteria described below in the areas of 1) teaching; 2) research and creative accomplishments; and 3) </w:t>
      </w:r>
      <w:r w:rsidR="00571899" w:rsidRPr="00A10479">
        <w:rPr>
          <w:rFonts w:ascii="Times New Roman" w:eastAsia="Times New Roman" w:hAnsi="Times New Roman" w:cs="Times New Roman"/>
        </w:rPr>
        <w:t>service. The</w:t>
      </w:r>
      <w:r w:rsidRPr="00A10479">
        <w:rPr>
          <w:rFonts w:ascii="Times New Roman" w:eastAsia="Times New Roman" w:hAnsi="Times New Roman" w:cs="Times New Roman"/>
        </w:rPr>
        <w:t xml:space="preserve"> candidate</w:t>
      </w:r>
      <w:r w:rsidRPr="00A10479">
        <w:rPr>
          <w:rFonts w:ascii="Times New Roman" w:eastAsia="Times New Roman" w:hAnsi="Times New Roman" w:cs="Times New Roman"/>
          <w:b/>
          <w:bCs/>
        </w:rPr>
        <w:t xml:space="preserve"> </w:t>
      </w:r>
      <w:r w:rsidRPr="00A10479">
        <w:rPr>
          <w:rFonts w:ascii="Times New Roman" w:eastAsia="Times New Roman" w:hAnsi="Times New Roman" w:cs="Times New Roman"/>
        </w:rPr>
        <w:t>is further expected to demonstrate e</w:t>
      </w:r>
      <w:r w:rsidR="24D7D71C" w:rsidRPr="00A10479">
        <w:rPr>
          <w:rFonts w:ascii="Times New Roman" w:eastAsia="Times New Roman" w:hAnsi="Times New Roman" w:cs="Times New Roman"/>
        </w:rPr>
        <w:t>xcellent</w:t>
      </w:r>
      <w:r w:rsidRPr="00A10479">
        <w:rPr>
          <w:rFonts w:ascii="Times New Roman" w:eastAsia="Times New Roman" w:hAnsi="Times New Roman" w:cs="Times New Roman"/>
        </w:rPr>
        <w:t xml:space="preserve"> achievement in at least one of the categories of teaching or research and creative accomplishments, or </w:t>
      </w:r>
      <w:r w:rsidR="310CE309" w:rsidRPr="00A10479">
        <w:rPr>
          <w:rFonts w:ascii="Times New Roman" w:eastAsia="Times New Roman" w:hAnsi="Times New Roman" w:cs="Times New Roman"/>
        </w:rPr>
        <w:t>very good</w:t>
      </w:r>
      <w:r w:rsidRPr="00A10479">
        <w:rPr>
          <w:rFonts w:ascii="Times New Roman" w:eastAsia="Times New Roman" w:hAnsi="Times New Roman" w:cs="Times New Roman"/>
        </w:rPr>
        <w:t xml:space="preserve"> performance in </w:t>
      </w:r>
      <w:proofErr w:type="gramStart"/>
      <w:r w:rsidRPr="00A10479">
        <w:rPr>
          <w:rFonts w:ascii="Times New Roman" w:eastAsia="Times New Roman" w:hAnsi="Times New Roman" w:cs="Times New Roman"/>
        </w:rPr>
        <w:t>both of these</w:t>
      </w:r>
      <w:proofErr w:type="gramEnd"/>
      <w:r w:rsidRPr="00A10479">
        <w:rPr>
          <w:rFonts w:ascii="Times New Roman" w:eastAsia="Times New Roman" w:hAnsi="Times New Roman" w:cs="Times New Roman"/>
        </w:rPr>
        <w:t xml:space="preserve"> categories. Similarly, candidates for promotion to Associate Librarian must meet the criteria specified for 1) librarianship, 2) teaching, 3) research and creative accomplishments, and 4) service, and are further expected to demonstrate </w:t>
      </w:r>
      <w:r w:rsidR="3B6529F0" w:rsidRPr="00A10479">
        <w:rPr>
          <w:rFonts w:ascii="Times New Roman" w:eastAsia="Times New Roman" w:hAnsi="Times New Roman" w:cs="Times New Roman"/>
        </w:rPr>
        <w:t>excellent</w:t>
      </w:r>
      <w:r w:rsidRPr="00A10479">
        <w:rPr>
          <w:rFonts w:ascii="Times New Roman" w:eastAsia="Times New Roman" w:hAnsi="Times New Roman" w:cs="Times New Roman"/>
        </w:rPr>
        <w:t xml:space="preserve"> achievement in at least one of the categories of librarianship or research and creative accomplishments or </w:t>
      </w:r>
      <w:r w:rsidR="5D023730" w:rsidRPr="00A10479">
        <w:rPr>
          <w:rFonts w:ascii="Times New Roman" w:eastAsia="Times New Roman" w:hAnsi="Times New Roman" w:cs="Times New Roman"/>
        </w:rPr>
        <w:t>very good</w:t>
      </w:r>
      <w:r w:rsidRPr="00A10479">
        <w:rPr>
          <w:rFonts w:ascii="Times New Roman" w:eastAsia="Times New Roman" w:hAnsi="Times New Roman" w:cs="Times New Roman"/>
        </w:rPr>
        <w:t xml:space="preserve"> performance in </w:t>
      </w:r>
      <w:proofErr w:type="gramStart"/>
      <w:r w:rsidRPr="00A10479">
        <w:rPr>
          <w:rFonts w:ascii="Times New Roman" w:eastAsia="Times New Roman" w:hAnsi="Times New Roman" w:cs="Times New Roman"/>
        </w:rPr>
        <w:t>both of these</w:t>
      </w:r>
      <w:proofErr w:type="gramEnd"/>
      <w:r w:rsidRPr="00A10479">
        <w:rPr>
          <w:rFonts w:ascii="Times New Roman" w:eastAsia="Times New Roman" w:hAnsi="Times New Roman" w:cs="Times New Roman"/>
        </w:rPr>
        <w:t xml:space="preserve"> categories. In accordance with AC23, the presumption is that a positive tenure decision for an assistant professor or librarian will be sufficient to warrant promotion to associate professor or librarian. In exceptional cases, if a committee or administrator believes strongly that an individual should be tenured but not promoted, the burden is on that committee or administrator to show why promotion is not warranted.</w:t>
      </w:r>
    </w:p>
    <w:p w14:paraId="2A99F898" w14:textId="77777777" w:rsidR="00F11256" w:rsidRPr="00A10479" w:rsidRDefault="00000000">
      <w:pPr>
        <w:spacing w:beforeAutospacing="1" w:afterAutospacing="1"/>
        <w:rPr>
          <w:rFonts w:ascii="Times New Roman" w:eastAsia="Times New Roman" w:hAnsi="Times New Roman" w:cs="Times New Roman"/>
        </w:rPr>
      </w:pPr>
      <w:r w:rsidRPr="00A10479">
        <w:rPr>
          <w:rFonts w:ascii="Times New Roman" w:eastAsia="Times New Roman" w:hAnsi="Times New Roman" w:cs="Times New Roman"/>
        </w:rPr>
        <w:t>For promotion to Professor or Librarian, candidates must demonstrate significant accomplishments beyond those presented at the time of promotion to Associate Professor or Associate Librarian. The candidate must show continued effectiveness as a teacher and, as appropriate, librarian; ongoing service to the University, the society, and the profession; and a level of research and/or creative accomplishments sufficient to earn a national reputation for excellence.</w:t>
      </w:r>
    </w:p>
    <w:p w14:paraId="6FE2B229" w14:textId="77777777" w:rsidR="00F11256" w:rsidRPr="00A10479" w:rsidRDefault="00000000">
      <w:pPr>
        <w:spacing w:beforeAutospacing="1" w:afterAutospacing="1"/>
        <w:outlineLvl w:val="3"/>
        <w:rPr>
          <w:rFonts w:ascii="Times New Roman" w:eastAsia="Times New Roman" w:hAnsi="Times New Roman" w:cs="Times New Roman"/>
          <w:b/>
          <w:bCs/>
        </w:rPr>
      </w:pPr>
      <w:r w:rsidRPr="00A10479">
        <w:rPr>
          <w:rFonts w:ascii="Times New Roman" w:eastAsia="Times New Roman" w:hAnsi="Times New Roman" w:cs="Times New Roman"/>
          <w:b/>
          <w:bCs/>
        </w:rPr>
        <w:t>Elaboration of the Three Basic Criteria for Tenure and Promotion</w:t>
      </w:r>
    </w:p>
    <w:p w14:paraId="66D9D204" w14:textId="77777777" w:rsidR="00F11256" w:rsidRPr="00A10479" w:rsidRDefault="00000000">
      <w:pPr>
        <w:numPr>
          <w:ilvl w:val="0"/>
          <w:numId w:val="1"/>
        </w:numPr>
        <w:spacing w:beforeAutospacing="1"/>
        <w:rPr>
          <w:rFonts w:ascii="Times New Roman" w:eastAsia="Times New Roman" w:hAnsi="Times New Roman" w:cs="Times New Roman"/>
        </w:rPr>
      </w:pPr>
      <w:r w:rsidRPr="00A10479">
        <w:rPr>
          <w:rFonts w:ascii="Times New Roman" w:eastAsia="Times New Roman" w:hAnsi="Times New Roman" w:cs="Times New Roman"/>
          <w:b/>
          <w:bCs/>
        </w:rPr>
        <w:t>The scholarship of teaching and learning.</w:t>
      </w:r>
      <w:r w:rsidRPr="00A10479">
        <w:rPr>
          <w:rFonts w:ascii="Times New Roman" w:eastAsia="Times New Roman" w:hAnsi="Times New Roman" w:cs="Times New Roman"/>
        </w:rPr>
        <w:t xml:space="preserve"> In accordance with our mission, Altoona College highly values the teaching and advising roles of its faculty. Faculty members must possess an ongoing commitment to teaching </w:t>
      </w:r>
      <w:proofErr w:type="gramStart"/>
      <w:r w:rsidRPr="00A10479">
        <w:rPr>
          <w:rFonts w:ascii="Times New Roman" w:eastAsia="Times New Roman" w:hAnsi="Times New Roman" w:cs="Times New Roman"/>
        </w:rPr>
        <w:t>and in particular, must</w:t>
      </w:r>
      <w:proofErr w:type="gramEnd"/>
      <w:r w:rsidRPr="00A10479">
        <w:rPr>
          <w:rFonts w:ascii="Times New Roman" w:eastAsia="Times New Roman" w:hAnsi="Times New Roman" w:cs="Times New Roman"/>
        </w:rPr>
        <w:t xml:space="preserve"> demonstrate success in communicating their specialized knowledge to students. This commitment and communication are essential to the educational process. Effectiveness in this area will be measured primarily by input from students and faculty colleagues in the form of course and advising evaluations, peer evaluations, student interviews, letters from former students, evaluation of course syllabi and other course materials, and any other means that will attest to the candidate’s teaching and advising effectiveness.</w:t>
      </w:r>
    </w:p>
    <w:p w14:paraId="4D5ADEDC" w14:textId="77777777" w:rsidR="00F11256" w:rsidRPr="00A10479" w:rsidRDefault="00000000">
      <w:pPr>
        <w:numPr>
          <w:ilvl w:val="0"/>
          <w:numId w:val="1"/>
        </w:numPr>
        <w:rPr>
          <w:rFonts w:ascii="Times New Roman" w:eastAsia="Times New Roman" w:hAnsi="Times New Roman" w:cs="Times New Roman"/>
        </w:rPr>
      </w:pPr>
      <w:r w:rsidRPr="00A10479">
        <w:rPr>
          <w:rFonts w:ascii="Times New Roman" w:eastAsia="Times New Roman" w:hAnsi="Times New Roman" w:cs="Times New Roman"/>
          <w:b/>
          <w:bCs/>
        </w:rPr>
        <w:t>The scholarship of research and creative accomplishments.</w:t>
      </w:r>
      <w:r w:rsidRPr="00A10479">
        <w:rPr>
          <w:rFonts w:ascii="Times New Roman" w:eastAsia="Times New Roman" w:hAnsi="Times New Roman" w:cs="Times New Roman"/>
        </w:rPr>
        <w:t xml:space="preserve"> The vitality of the faculty, both collectively and individually, depends upon ongoing research or creative accomplishments. Such accomplishments are usually demonstrated through publication, exhibition, or performance. Additional demonstrations of achievement in this area may include presentations at professional meetings, obtaining grants, participation in professional seminars and workshops, external letters of assessment from leaders of the profession who are knowledgeable in the candidate’s field, outreach activities utilizing the candidate’s expertise, and the development of new courses and academic programs.</w:t>
      </w:r>
      <w:r w:rsidRPr="00A10479">
        <w:rPr>
          <w:rFonts w:ascii="Times New Roman" w:eastAsia="Times New Roman" w:hAnsi="Times New Roman" w:cs="Times New Roman"/>
        </w:rPr>
        <w:br/>
      </w:r>
      <w:r w:rsidRPr="00A10479">
        <w:rPr>
          <w:rFonts w:ascii="Times New Roman" w:eastAsia="Times New Roman" w:hAnsi="Times New Roman" w:cs="Times New Roman"/>
        </w:rPr>
        <w:br/>
        <w:t xml:space="preserve">Altoona College encourages innovative, interdisciplinary ways for faculty to realize professional growth and achievement in these areas. Any demonstration of achievement </w:t>
      </w:r>
      <w:r w:rsidRPr="00A10479">
        <w:rPr>
          <w:rFonts w:ascii="Times New Roman" w:eastAsia="Times New Roman" w:hAnsi="Times New Roman" w:cs="Times New Roman"/>
        </w:rPr>
        <w:lastRenderedPageBreak/>
        <w:t>in these areas should ultimately produce or enhance recognition of a faculty member’s expertise by members of the profession outside of Penn State University. Because of the demands made by teaching responsibilities and because of campus limitations, quantitative expectations for the research and scholarly output of Altoona College faculty must be different from that of faculty at locations which emphasize the research mission. However, similar qualitative expectations should apply to all locations.</w:t>
      </w:r>
    </w:p>
    <w:p w14:paraId="32247DFB" w14:textId="5BFD0B00" w:rsidR="00F11256" w:rsidRPr="00A10479" w:rsidRDefault="00000000">
      <w:pPr>
        <w:numPr>
          <w:ilvl w:val="0"/>
          <w:numId w:val="1"/>
        </w:numPr>
        <w:spacing w:afterAutospacing="1"/>
        <w:rPr>
          <w:rFonts w:ascii="Times New Roman" w:eastAsia="Times New Roman" w:hAnsi="Times New Roman" w:cs="Times New Roman"/>
        </w:rPr>
      </w:pPr>
      <w:r w:rsidRPr="00A10479">
        <w:rPr>
          <w:rFonts w:ascii="Times New Roman" w:eastAsia="Times New Roman" w:hAnsi="Times New Roman" w:cs="Times New Roman"/>
          <w:b/>
          <w:bCs/>
        </w:rPr>
        <w:t xml:space="preserve">Service and the scholarship of service to the University, society, and the profession. </w:t>
      </w:r>
      <w:r w:rsidRPr="00A10479">
        <w:rPr>
          <w:rFonts w:ascii="Times New Roman" w:eastAsia="Times New Roman" w:hAnsi="Times New Roman" w:cs="Times New Roman"/>
        </w:rPr>
        <w:t>Altoona College views a record of service as evidence of the candidate’s commitment to furthering the missions of the College and the University. This service usually takes the form of committee work, participation in governance bodies, administrative support work, service to student groups, and professionally related service to the public. Altoona College expects that this record of service will eventually incorporate positions of leadership at various levels: academic division, college, university, and professional organizations. Elected positions of major responsibility are viewed as evidence that a candidate’s service has earned the esteem of that candidate’s colleagues.</w:t>
      </w:r>
    </w:p>
    <w:p w14:paraId="3D01DAC7" w14:textId="77777777" w:rsidR="00F11256" w:rsidRPr="00A10479" w:rsidRDefault="00000000">
      <w:pPr>
        <w:rPr>
          <w:rFonts w:ascii="Times New Roman" w:eastAsia="Times New Roman" w:hAnsi="Times New Roman" w:cs="Times New Roman"/>
        </w:rPr>
      </w:pPr>
      <w:r w:rsidRPr="00A10479">
        <w:rPr>
          <w:noProof/>
        </w:rPr>
        <mc:AlternateContent>
          <mc:Choice Requires="wps">
            <w:drawing>
              <wp:inline distT="0" distB="0" distL="0" distR="0" wp14:anchorId="044F5D87" wp14:editId="73C3B9C4">
                <wp:extent cx="5943600" cy="635"/>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bodyPr/>
                    </wps:wsp>
                  </a:graphicData>
                </a:graphic>
              </wp:inline>
            </w:drawing>
          </mc:Choice>
          <mc:Fallback xmlns:a="http://schemas.openxmlformats.org/drawingml/2006/main">
            <w:pict w14:anchorId="12C69193">
              <v:rect id="shape_0" style="position:absolute;margin-left:0pt;margin-top:-0.1pt;width:467.95pt;height:0pt;mso-wrap-style:none;v-text-anchor:middle;mso-position-horizontal:center;mso-position-vertical:top" o:allowincell="f" fillcolor="#a0a0a0" stroked="f">
                <v:fill type="solid" color2="#5f5f5f" o:detectmouseclick="t"/>
                <v:stroke color="#3465a4" joinstyle="round" endcap="flat"/>
                <w10:wrap type="topAndBottom"/>
              </v:rect>
            </w:pict>
          </mc:Fallback>
        </mc:AlternateContent>
      </w:r>
    </w:p>
    <w:p w14:paraId="11F52F8A" w14:textId="77777777" w:rsidR="00DA5AD3" w:rsidRPr="00A10479" w:rsidRDefault="00DA5AD3" w:rsidP="1840FEAE">
      <w:pPr>
        <w:rPr>
          <w:rFonts w:ascii="Times New Roman" w:eastAsia="Times New Roman" w:hAnsi="Times New Roman" w:cs="Times New Roman"/>
          <w:i/>
          <w:iCs/>
        </w:rPr>
      </w:pPr>
    </w:p>
    <w:p w14:paraId="24DD4446" w14:textId="753BCB5A" w:rsidR="00DA5AD3" w:rsidRPr="00A10479" w:rsidRDefault="00000000" w:rsidP="1840FEAE">
      <w:pPr>
        <w:rPr>
          <w:rFonts w:ascii="Times New Roman" w:eastAsia="Times New Roman" w:hAnsi="Times New Roman" w:cs="Times New Roman"/>
          <w:i/>
          <w:iCs/>
        </w:rPr>
      </w:pPr>
      <w:r w:rsidRPr="00A10479">
        <w:rPr>
          <w:rFonts w:ascii="Times New Roman" w:eastAsia="Times New Roman" w:hAnsi="Times New Roman" w:cs="Times New Roman"/>
          <w:i/>
          <w:iCs/>
        </w:rPr>
        <w:t>Approved, June 10, 1997</w:t>
      </w:r>
      <w:r w:rsidRPr="00A10479">
        <w:br/>
      </w:r>
      <w:r w:rsidRPr="00A10479">
        <w:rPr>
          <w:rFonts w:ascii="Times New Roman" w:eastAsia="Times New Roman" w:hAnsi="Times New Roman" w:cs="Times New Roman"/>
          <w:i/>
          <w:iCs/>
        </w:rPr>
        <w:t>Revised, January 21, 2003</w:t>
      </w:r>
      <w:r w:rsidRPr="00A10479">
        <w:br/>
      </w:r>
      <w:r w:rsidRPr="00A10479">
        <w:rPr>
          <w:rFonts w:ascii="Times New Roman" w:eastAsia="Times New Roman" w:hAnsi="Times New Roman" w:cs="Times New Roman"/>
          <w:i/>
          <w:iCs/>
        </w:rPr>
        <w:t>Updated with revised “AC” policy references, January 12, 2018</w:t>
      </w:r>
    </w:p>
    <w:p w14:paraId="0A33917B" w14:textId="59156555" w:rsidR="6F8402A0" w:rsidRDefault="6F8402A0" w:rsidP="1840FEAE">
      <w:pPr>
        <w:rPr>
          <w:rFonts w:ascii="Times New Roman" w:eastAsia="Times New Roman" w:hAnsi="Times New Roman" w:cs="Times New Roman"/>
          <w:i/>
          <w:iCs/>
        </w:rPr>
      </w:pPr>
      <w:r w:rsidRPr="00A10479">
        <w:rPr>
          <w:rFonts w:ascii="Times New Roman" w:eastAsia="Times New Roman" w:hAnsi="Times New Roman" w:cs="Times New Roman"/>
          <w:i/>
          <w:iCs/>
        </w:rPr>
        <w:t>Editorial revisions approved by Altoona College Faculty Senate, March 16, 2023</w:t>
      </w:r>
    </w:p>
    <w:p w14:paraId="7D13C4CE" w14:textId="588FC34D" w:rsidR="1840FEAE" w:rsidRDefault="1840FEAE" w:rsidP="1840FEAE">
      <w:pPr>
        <w:spacing w:beforeAutospacing="1" w:afterAutospacing="1"/>
        <w:rPr>
          <w:rFonts w:ascii="Times New Roman" w:eastAsia="Times New Roman" w:hAnsi="Times New Roman" w:cs="Times New Roman"/>
          <w:i/>
          <w:iCs/>
        </w:rPr>
      </w:pPr>
    </w:p>
    <w:p w14:paraId="4CA1CBC5" w14:textId="690FB985" w:rsidR="0031211D" w:rsidRDefault="0031211D">
      <w:pPr>
        <w:spacing w:beforeAutospacing="1" w:afterAutospacing="1"/>
        <w:rPr>
          <w:rFonts w:ascii="Times New Roman" w:eastAsia="Times New Roman" w:hAnsi="Times New Roman" w:cs="Times New Roman"/>
        </w:rPr>
      </w:pPr>
    </w:p>
    <w:p w14:paraId="39EAEB3D" w14:textId="77777777" w:rsidR="00F11256" w:rsidRDefault="00F11256"/>
    <w:sectPr w:rsidR="00F11256">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341C"/>
    <w:multiLevelType w:val="multilevel"/>
    <w:tmpl w:val="C194C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E14DAA"/>
    <w:multiLevelType w:val="multilevel"/>
    <w:tmpl w:val="89062E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66473612">
    <w:abstractNumId w:val="0"/>
  </w:num>
  <w:num w:numId="2" w16cid:durableId="147660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56"/>
    <w:rsid w:val="0031211D"/>
    <w:rsid w:val="00571899"/>
    <w:rsid w:val="006F0F80"/>
    <w:rsid w:val="00A10479"/>
    <w:rsid w:val="00DA5AD3"/>
    <w:rsid w:val="00F11256"/>
    <w:rsid w:val="13CCB172"/>
    <w:rsid w:val="1840FEAE"/>
    <w:rsid w:val="24D7D71C"/>
    <w:rsid w:val="310CE309"/>
    <w:rsid w:val="3B5BDBA4"/>
    <w:rsid w:val="3B6529F0"/>
    <w:rsid w:val="4AC9F200"/>
    <w:rsid w:val="5D023730"/>
    <w:rsid w:val="656192A6"/>
    <w:rsid w:val="6F8402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3E05"/>
  <w15:docId w15:val="{E2E7EBD7-34F1-41B8-ACF5-7A52FE67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22A3"/>
    <w:pPr>
      <w:spacing w:beforeAutospacing="1"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2A3"/>
    <w:pPr>
      <w:spacing w:beforeAutospacing="1"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22A3"/>
    <w:pPr>
      <w:spacing w:beforeAutospacing="1"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D2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FD22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FD22A3"/>
    <w:rPr>
      <w:rFonts w:ascii="Times New Roman" w:eastAsia="Times New Roman" w:hAnsi="Times New Roman" w:cs="Times New Roman"/>
      <w:b/>
      <w:bCs/>
    </w:rPr>
  </w:style>
  <w:style w:type="character" w:styleId="Strong">
    <w:name w:val="Strong"/>
    <w:basedOn w:val="DefaultParagraphFont"/>
    <w:uiPriority w:val="22"/>
    <w:qFormat/>
    <w:rsid w:val="00FD22A3"/>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D22A3"/>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491ac9-f226-4439-8527-dc37395d9020">
      <UserInfo>
        <DisplayName>Stoyanoff, Jeffery G.</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826908D9FD4AB932E224963A2475" ma:contentTypeVersion="4" ma:contentTypeDescription="Create a new document." ma:contentTypeScope="" ma:versionID="524b84df20f364098274c7ecafe9d012">
  <xsd:schema xmlns:xsd="http://www.w3.org/2001/XMLSchema" xmlns:xs="http://www.w3.org/2001/XMLSchema" xmlns:p="http://schemas.microsoft.com/office/2006/metadata/properties" xmlns:ns2="f6fdcd61-6cc4-429a-bb4e-e01d207afb44" xmlns:ns3="0a491ac9-f226-4439-8527-dc37395d9020" targetNamespace="http://schemas.microsoft.com/office/2006/metadata/properties" ma:root="true" ma:fieldsID="ae648cac058dc6bfc94f86b1b1b02826" ns2:_="" ns3:_="">
    <xsd:import namespace="f6fdcd61-6cc4-429a-bb4e-e01d207afb44"/>
    <xsd:import namespace="0a491ac9-f226-4439-8527-dc37395d9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d61-6cc4-429a-bb4e-e01d207af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91ac9-f226-4439-8527-dc37395d9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D31A3-A016-4CBF-A35C-0D115ADE2F1B}">
  <ds:schemaRefs>
    <ds:schemaRef ds:uri="http://schemas.microsoft.com/office/2006/metadata/properties"/>
    <ds:schemaRef ds:uri="http://schemas.microsoft.com/office/infopath/2007/PartnerControls"/>
    <ds:schemaRef ds:uri="0a491ac9-f226-4439-8527-dc37395d9020"/>
  </ds:schemaRefs>
</ds:datastoreItem>
</file>

<file path=customXml/itemProps2.xml><?xml version="1.0" encoding="utf-8"?>
<ds:datastoreItem xmlns:ds="http://schemas.openxmlformats.org/officeDocument/2006/customXml" ds:itemID="{84ED7A08-6482-4842-B615-B6A3BD458923}">
  <ds:schemaRefs>
    <ds:schemaRef ds:uri="http://schemas.microsoft.com/sharepoint/v3/contenttype/forms"/>
  </ds:schemaRefs>
</ds:datastoreItem>
</file>

<file path=customXml/itemProps3.xml><?xml version="1.0" encoding="utf-8"?>
<ds:datastoreItem xmlns:ds="http://schemas.openxmlformats.org/officeDocument/2006/customXml" ds:itemID="{6ED72E30-326C-44A8-B83F-9D4798AA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d61-6cc4-429a-bb4e-e01d207afb44"/>
    <ds:schemaRef ds:uri="0a491ac9-f226-4439-8527-dc37395d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Hopsicker, Peter M.</dc:creator>
  <dc:description/>
  <cp:lastModifiedBy>Angel Goldian</cp:lastModifiedBy>
  <cp:revision>3</cp:revision>
  <dcterms:created xsi:type="dcterms:W3CDTF">2023-05-10T12:14:00Z</dcterms:created>
  <dcterms:modified xsi:type="dcterms:W3CDTF">2023-05-25T17:55:00Z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0x0101000F1F826908D9FD4AB932E224963A2475</vt:lpwstr>
  </property>
</Properties>
</file>