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23DD" w14:textId="3D4DC4BB" w:rsidR="00AF3536" w:rsidRPr="00F45B80" w:rsidRDefault="00AF3536" w:rsidP="00AF3536">
      <w:pPr>
        <w:spacing w:before="36"/>
        <w:jc w:val="center"/>
        <w:rPr>
          <w:rFonts w:ascii="Times New Roman" w:hAnsi="Times New Roman" w:cs="Times New Roman"/>
          <w:b/>
          <w:bCs/>
        </w:rPr>
      </w:pPr>
      <w:r w:rsidRPr="00F45B80">
        <w:rPr>
          <w:rFonts w:ascii="Times New Roman" w:hAnsi="Times New Roman" w:cs="Times New Roman"/>
          <w:b/>
          <w:bCs/>
        </w:rPr>
        <w:t>PENN STATE ALTOONA</w:t>
      </w:r>
      <w:r w:rsidRPr="00F45B80">
        <w:rPr>
          <w:rFonts w:ascii="Times New Roman" w:hAnsi="Times New Roman" w:cs="Times New Roman"/>
          <w:b/>
          <w:bCs/>
        </w:rPr>
        <w:br/>
        <w:t>DIVISION OF EDUCATION, HUMAN DEVELOPMENT AND SOCIAL SCIENCES</w:t>
      </w:r>
    </w:p>
    <w:p w14:paraId="3E8AB113" w14:textId="77777777" w:rsidR="00AF3536" w:rsidRPr="00F45B80" w:rsidRDefault="00AF3536" w:rsidP="00AF3536">
      <w:pPr>
        <w:spacing w:before="36"/>
        <w:jc w:val="center"/>
        <w:rPr>
          <w:rFonts w:ascii="Times New Roman" w:hAnsi="Times New Roman" w:cs="Times New Roman"/>
          <w:b/>
          <w:bCs/>
        </w:rPr>
      </w:pPr>
      <w:r w:rsidRPr="00F45B80">
        <w:rPr>
          <w:rFonts w:ascii="Times New Roman" w:hAnsi="Times New Roman" w:cs="Times New Roman"/>
          <w:b/>
          <w:bCs/>
        </w:rPr>
        <w:t>PROMOTION AND TENURE POLICY</w:t>
      </w:r>
      <w:r w:rsidRPr="00F45B80">
        <w:rPr>
          <w:rStyle w:val="EndnoteReference"/>
          <w:rFonts w:ascii="Times New Roman" w:hAnsi="Times New Roman" w:cs="Times New Roman"/>
          <w:b/>
          <w:bCs/>
        </w:rPr>
        <w:endnoteReference w:id="1"/>
      </w:r>
    </w:p>
    <w:p w14:paraId="69B7ECEF" w14:textId="74F2E4C6" w:rsidR="00AF3536" w:rsidRPr="00F45B80" w:rsidRDefault="00AF3536" w:rsidP="00AF3536">
      <w:pPr>
        <w:spacing w:before="216"/>
        <w:rPr>
          <w:rFonts w:ascii="Times New Roman" w:hAnsi="Times New Roman" w:cs="Times New Roman"/>
          <w:spacing w:val="5"/>
        </w:rPr>
      </w:pPr>
      <w:r w:rsidRPr="00F45B80">
        <w:rPr>
          <w:rFonts w:ascii="Times New Roman" w:hAnsi="Times New Roman" w:cs="Times New Roman"/>
        </w:rPr>
        <w:t xml:space="preserve">The Division of Education, Human Development and Social Sciences represents diverse </w:t>
      </w:r>
      <w:r w:rsidRPr="00F45B80">
        <w:rPr>
          <w:rFonts w:ascii="Times New Roman" w:hAnsi="Times New Roman" w:cs="Times New Roman"/>
          <w:spacing w:val="2"/>
        </w:rPr>
        <w:t xml:space="preserve">disciplines and requires a balanced, flexible, and equitable promotion and tenure policy </w:t>
      </w:r>
      <w:r w:rsidRPr="00F45B80">
        <w:rPr>
          <w:rFonts w:ascii="Times New Roman" w:hAnsi="Times New Roman" w:cs="Times New Roman"/>
          <w:spacing w:val="4"/>
        </w:rPr>
        <w:t xml:space="preserve">consistent with the consistent with the directives and spirit of University Academic Policies </w:t>
      </w:r>
      <w:hyperlink r:id="rId7" w:history="1">
        <w:r w:rsidRPr="00F45B80">
          <w:rPr>
            <w:rStyle w:val="Hyperlink"/>
            <w:rFonts w:ascii="Times New Roman" w:hAnsi="Times New Roman" w:cs="Times New Roman"/>
            <w:spacing w:val="4"/>
          </w:rPr>
          <w:t>AC21</w:t>
        </w:r>
      </w:hyperlink>
      <w:r w:rsidRPr="00F45B80">
        <w:rPr>
          <w:rFonts w:ascii="Times New Roman" w:hAnsi="Times New Roman" w:cs="Times New Roman"/>
          <w:spacing w:val="4"/>
        </w:rPr>
        <w:t xml:space="preserve"> and </w:t>
      </w:r>
      <w:hyperlink r:id="rId8" w:history="1">
        <w:r w:rsidRPr="00F45B80">
          <w:rPr>
            <w:rStyle w:val="Hyperlink"/>
            <w:rFonts w:ascii="Times New Roman" w:hAnsi="Times New Roman" w:cs="Times New Roman"/>
            <w:spacing w:val="4"/>
          </w:rPr>
          <w:t>AC23</w:t>
        </w:r>
      </w:hyperlink>
      <w:r w:rsidRPr="00F45B80">
        <w:rPr>
          <w:rFonts w:ascii="Times New Roman" w:hAnsi="Times New Roman" w:cs="Times New Roman"/>
          <w:spacing w:val="4"/>
        </w:rPr>
        <w:t xml:space="preserve">. In broad terms, the policy is intended </w:t>
      </w:r>
      <w:r w:rsidRPr="00F45B80">
        <w:rPr>
          <w:rFonts w:ascii="Times New Roman" w:hAnsi="Times New Roman" w:cs="Times New Roman"/>
        </w:rPr>
        <w:t xml:space="preserve">to ensure that members of </w:t>
      </w:r>
      <w:r w:rsidR="008E1EC1" w:rsidRPr="00F45B80">
        <w:rPr>
          <w:rFonts w:ascii="Times New Roman" w:hAnsi="Times New Roman" w:cs="Times New Roman"/>
        </w:rPr>
        <w:t>the</w:t>
      </w:r>
      <w:r w:rsidRPr="00F45B80">
        <w:rPr>
          <w:rFonts w:ascii="Times New Roman" w:hAnsi="Times New Roman" w:cs="Times New Roman"/>
        </w:rPr>
        <w:t xml:space="preserve"> Division are effective teachers, </w:t>
      </w:r>
      <w:r w:rsidRPr="00F45B80">
        <w:rPr>
          <w:rFonts w:ascii="Times New Roman" w:hAnsi="Times New Roman" w:cs="Times New Roman"/>
          <w:spacing w:val="4"/>
        </w:rPr>
        <w:t xml:space="preserve">productive scholars, and responsible members of the university and professional </w:t>
      </w:r>
      <w:r w:rsidRPr="00F45B80">
        <w:rPr>
          <w:rFonts w:ascii="Times New Roman" w:hAnsi="Times New Roman" w:cs="Times New Roman"/>
          <w:spacing w:val="5"/>
        </w:rPr>
        <w:t>communities. Reviews shall be conducted with due respect and confidentiality.</w:t>
      </w:r>
    </w:p>
    <w:p w14:paraId="50096E28" w14:textId="22F08D4A" w:rsidR="00AF3536" w:rsidRPr="00F45B80" w:rsidRDefault="00AF3536" w:rsidP="00AF3536">
      <w:pPr>
        <w:spacing w:before="216"/>
        <w:rPr>
          <w:rFonts w:ascii="Times New Roman" w:hAnsi="Times New Roman" w:cs="Times New Roman"/>
        </w:rPr>
      </w:pPr>
      <w:r w:rsidRPr="00F45B80">
        <w:rPr>
          <w:rFonts w:ascii="Times New Roman" w:hAnsi="Times New Roman" w:cs="Times New Roman"/>
          <w:spacing w:val="5"/>
        </w:rPr>
        <w:t xml:space="preserve">The Division Promotion and Tenure Review Committee, formed via the </w:t>
      </w:r>
      <w:hyperlink r:id="rId9" w:history="1">
        <w:r w:rsidRPr="00F45B80">
          <w:rPr>
            <w:rStyle w:val="Hyperlink"/>
            <w:rFonts w:ascii="Times New Roman" w:hAnsi="Times New Roman" w:cs="Times New Roman"/>
            <w:spacing w:val="5"/>
          </w:rPr>
          <w:t>Altoona College Promotion and Tenure Review Procedures</w:t>
        </w:r>
      </w:hyperlink>
      <w:r w:rsidRPr="00F45B80">
        <w:rPr>
          <w:rFonts w:ascii="Times New Roman" w:hAnsi="Times New Roman" w:cs="Times New Roman"/>
          <w:spacing w:val="5"/>
        </w:rPr>
        <w:t xml:space="preserve">, will make its recommendations </w:t>
      </w:r>
      <w:r w:rsidRPr="00F45B80">
        <w:rPr>
          <w:rFonts w:ascii="Times New Roman" w:hAnsi="Times New Roman" w:cs="Times New Roman"/>
        </w:rPr>
        <w:t>on the basis of careful review of all of the available evidence in relation to the following criteria:</w:t>
      </w:r>
    </w:p>
    <w:p w14:paraId="5839F483" w14:textId="77777777" w:rsidR="00AF3536" w:rsidRPr="00F45B80" w:rsidRDefault="00AF3536" w:rsidP="00AF3536">
      <w:pPr>
        <w:spacing w:after="0" w:line="305" w:lineRule="auto"/>
        <w:rPr>
          <w:rFonts w:ascii="Times New Roman" w:hAnsi="Times New Roman" w:cs="Times New Roman"/>
          <w:b/>
          <w:bCs/>
          <w:spacing w:val="3"/>
          <w:u w:val="single"/>
        </w:rPr>
      </w:pPr>
      <w:r w:rsidRPr="00F45B80">
        <w:rPr>
          <w:rFonts w:ascii="Times New Roman" w:hAnsi="Times New Roman" w:cs="Times New Roman"/>
          <w:b/>
          <w:bCs/>
          <w:spacing w:val="3"/>
          <w:u w:val="single"/>
        </w:rPr>
        <w:t>The Scholarship of Teaching and Learning</w:t>
      </w:r>
    </w:p>
    <w:p w14:paraId="72570605" w14:textId="73B913C4" w:rsidR="00AF3536" w:rsidRPr="00F45B80" w:rsidRDefault="00AF3536" w:rsidP="00AF3536">
      <w:pPr>
        <w:rPr>
          <w:rFonts w:ascii="Times New Roman" w:hAnsi="Times New Roman" w:cs="Times New Roman"/>
          <w:color w:val="000000"/>
        </w:rPr>
      </w:pPr>
      <w:r w:rsidRPr="00F45B80">
        <w:rPr>
          <w:rFonts w:ascii="Times New Roman" w:hAnsi="Times New Roman" w:cs="Times New Roman"/>
          <w:spacing w:val="6"/>
        </w:rPr>
        <w:t>Effective teaching is critical for promotion or tenure. Although most teaching occurs in</w:t>
      </w:r>
      <w:r w:rsidRPr="00F45B80">
        <w:rPr>
          <w:rFonts w:ascii="Times New Roman" w:hAnsi="Times New Roman" w:cs="Times New Roman"/>
        </w:rPr>
        <w:t xml:space="preserve"> </w:t>
      </w:r>
      <w:r w:rsidRPr="00F45B80">
        <w:rPr>
          <w:rFonts w:ascii="Times New Roman" w:hAnsi="Times New Roman" w:cs="Times New Roman"/>
          <w:spacing w:val="8"/>
        </w:rPr>
        <w:t xml:space="preserve">the classroom, teaching is understood in its broadest sense and may include a variety of contacts with students such as advising, independent studies, and engaged scholarship. It is </w:t>
      </w:r>
      <w:r w:rsidRPr="00F45B80">
        <w:rPr>
          <w:rFonts w:ascii="Times New Roman" w:hAnsi="Times New Roman" w:cs="Times New Roman"/>
          <w:spacing w:val="2"/>
        </w:rPr>
        <w:t xml:space="preserve">essential that the instructor communicates effectively, is fair and objective, and maintains </w:t>
      </w:r>
      <w:r w:rsidRPr="00F45B80">
        <w:rPr>
          <w:rFonts w:ascii="Times New Roman" w:hAnsi="Times New Roman" w:cs="Times New Roman"/>
          <w:spacing w:val="3"/>
        </w:rPr>
        <w:t xml:space="preserve">sound academic standards in evaluation of students. </w:t>
      </w:r>
      <w:r w:rsidRPr="00F45B80">
        <w:rPr>
          <w:rFonts w:ascii="Times New Roman" w:hAnsi="Times New Roman" w:cs="Times New Roman"/>
          <w:color w:val="000000"/>
        </w:rPr>
        <w:t>Student ratings shall be obtained using the Student Rating of Teaching Effectiveness (SRTE) in accordance with the University Administrative Guidelines for AC23.</w:t>
      </w:r>
      <w:r w:rsidRPr="00F45B80">
        <w:rPr>
          <w:rFonts w:ascii="Times New Roman" w:hAnsi="Times New Roman" w:cs="Times New Roman"/>
          <w:spacing w:val="3"/>
        </w:rPr>
        <w:t xml:space="preserve"> However, evaluation of teaching effectiveness </w:t>
      </w:r>
      <w:r w:rsidRPr="00F45B80">
        <w:rPr>
          <w:rFonts w:ascii="Times New Roman" w:hAnsi="Times New Roman" w:cs="Times New Roman"/>
          <w:spacing w:val="12"/>
        </w:rPr>
        <w:t xml:space="preserve">will go beyond the administering of SRTEs. Peer evaluations will be conducted in </w:t>
      </w:r>
      <w:r w:rsidRPr="00F45B80">
        <w:rPr>
          <w:rFonts w:ascii="Times New Roman" w:hAnsi="Times New Roman" w:cs="Times New Roman"/>
          <w:spacing w:val="2"/>
        </w:rPr>
        <w:t xml:space="preserve">accordance with the Division's </w:t>
      </w:r>
      <w:hyperlink r:id="rId10" w:history="1">
        <w:r w:rsidRPr="00F45B80">
          <w:rPr>
            <w:rStyle w:val="Hyperlink"/>
            <w:rFonts w:ascii="Times New Roman" w:hAnsi="Times New Roman" w:cs="Times New Roman"/>
            <w:spacing w:val="2"/>
          </w:rPr>
          <w:t>Guidelines for Peer Evaluation of Teaching Effectiveness and the Second Form of Student Evaluation</w:t>
        </w:r>
      </w:hyperlink>
      <w:r w:rsidRPr="00F45B80">
        <w:rPr>
          <w:rFonts w:ascii="Times New Roman" w:hAnsi="Times New Roman" w:cs="Times New Roman"/>
          <w:spacing w:val="2"/>
        </w:rPr>
        <w:t xml:space="preserve">. In addition, </w:t>
      </w:r>
      <w:r w:rsidRPr="00F45B80">
        <w:rPr>
          <w:rFonts w:ascii="Times New Roman" w:hAnsi="Times New Roman" w:cs="Times New Roman"/>
          <w:color w:val="000000"/>
        </w:rPr>
        <w:t>one alternative assessment documenting teaching effectiveness shall be included for each academic year, beginning with 2020-2021.</w:t>
      </w:r>
    </w:p>
    <w:p w14:paraId="7E3729E8" w14:textId="77777777" w:rsidR="00AF3536" w:rsidRPr="00F45B80" w:rsidRDefault="00AF3536" w:rsidP="00AF3536">
      <w:pPr>
        <w:spacing w:after="0" w:line="298" w:lineRule="auto"/>
        <w:ind w:firstLine="14"/>
        <w:rPr>
          <w:rFonts w:ascii="Times New Roman" w:hAnsi="Times New Roman" w:cs="Times New Roman"/>
          <w:b/>
          <w:bCs/>
          <w:spacing w:val="8"/>
          <w:u w:val="single"/>
        </w:rPr>
      </w:pPr>
      <w:r w:rsidRPr="00F45B80">
        <w:rPr>
          <w:rFonts w:ascii="Times New Roman" w:hAnsi="Times New Roman" w:cs="Times New Roman"/>
          <w:b/>
          <w:bCs/>
          <w:spacing w:val="8"/>
          <w:u w:val="single"/>
        </w:rPr>
        <w:t>The Scholarship of Research and Creative Accomplishments</w:t>
      </w:r>
    </w:p>
    <w:p w14:paraId="09DE6D4D" w14:textId="50DB28A5" w:rsidR="00AF3536" w:rsidRPr="00F45B80" w:rsidRDefault="00AF3536" w:rsidP="00AF3536">
      <w:pPr>
        <w:spacing w:after="0"/>
        <w:rPr>
          <w:rFonts w:ascii="Times New Roman" w:hAnsi="Times New Roman" w:cs="Times New Roman"/>
          <w:spacing w:val="1"/>
        </w:rPr>
      </w:pPr>
      <w:r w:rsidRPr="00F45B80">
        <w:rPr>
          <w:rFonts w:ascii="Times New Roman" w:hAnsi="Times New Roman" w:cs="Times New Roman"/>
          <w:spacing w:val="8"/>
        </w:rPr>
        <w:t xml:space="preserve">An active scholarly record is essential for promotion and tenure. While there must be </w:t>
      </w:r>
      <w:r w:rsidRPr="00F45B80">
        <w:rPr>
          <w:rFonts w:ascii="Times New Roman" w:hAnsi="Times New Roman" w:cs="Times New Roman"/>
          <w:spacing w:val="2"/>
        </w:rPr>
        <w:t xml:space="preserve">some concrete evidence of accomplishments in this area, research and scholarship are not </w:t>
      </w:r>
      <w:r w:rsidRPr="00F45B80">
        <w:rPr>
          <w:rFonts w:ascii="Times New Roman" w:hAnsi="Times New Roman" w:cs="Times New Roman"/>
          <w:spacing w:val="12"/>
        </w:rPr>
        <w:t xml:space="preserve">construed narrowly. In addition to the traditional publication record, we also </w:t>
      </w:r>
      <w:r w:rsidRPr="00F45B80">
        <w:rPr>
          <w:rFonts w:ascii="Times New Roman" w:hAnsi="Times New Roman" w:cs="Times New Roman"/>
          <w:spacing w:val="4"/>
        </w:rPr>
        <w:t>acknowledge pedagogical materials</w:t>
      </w:r>
      <w:r w:rsidRPr="00F45B80">
        <w:rPr>
          <w:rFonts w:ascii="Times New Roman" w:hAnsi="Times New Roman" w:cs="Times New Roman"/>
          <w:spacing w:val="5"/>
        </w:rPr>
        <w:t>, curriculum development, and textbooks as products</w:t>
      </w:r>
      <w:r w:rsidRPr="00F45B80">
        <w:rPr>
          <w:rFonts w:ascii="Times New Roman" w:hAnsi="Times New Roman" w:cs="Times New Roman"/>
          <w:spacing w:val="5"/>
        </w:rPr>
        <w:br/>
      </w:r>
      <w:r w:rsidRPr="00F45B80">
        <w:rPr>
          <w:rFonts w:ascii="Times New Roman" w:hAnsi="Times New Roman" w:cs="Times New Roman"/>
          <w:spacing w:val="6"/>
        </w:rPr>
        <w:t xml:space="preserve">of research. The Division’s statement on </w:t>
      </w:r>
      <w:hyperlink r:id="rId11" w:history="1">
        <w:r w:rsidRPr="00F45B80">
          <w:rPr>
            <w:rStyle w:val="Hyperlink"/>
            <w:rFonts w:ascii="Times New Roman" w:hAnsi="Times New Roman" w:cs="Times New Roman"/>
            <w:spacing w:val="6"/>
          </w:rPr>
          <w:t>the Scholarship of Research and Creative Accomplishments</w:t>
        </w:r>
      </w:hyperlink>
      <w:r w:rsidRPr="00F45B80">
        <w:rPr>
          <w:rFonts w:ascii="Times New Roman" w:hAnsi="Times New Roman" w:cs="Times New Roman"/>
          <w:spacing w:val="6"/>
        </w:rPr>
        <w:t xml:space="preserve"> serves as the faculty member’s guide in this area. </w:t>
      </w:r>
      <w:r w:rsidRPr="00F45B80">
        <w:rPr>
          <w:rFonts w:ascii="Times New Roman" w:hAnsi="Times New Roman" w:cs="Times New Roman"/>
          <w:spacing w:val="2"/>
        </w:rPr>
        <w:t xml:space="preserve">The Division encourages its faculty to seek external grants, present papers at professional </w:t>
      </w:r>
      <w:r w:rsidRPr="00F45B80">
        <w:rPr>
          <w:rFonts w:ascii="Times New Roman" w:hAnsi="Times New Roman" w:cs="Times New Roman"/>
          <w:spacing w:val="3"/>
        </w:rPr>
        <w:t>meetings, develop new courses and programs, and engage in the full range of activities</w:t>
      </w:r>
      <w:r w:rsidRPr="00F45B80">
        <w:rPr>
          <w:rFonts w:ascii="Times New Roman" w:hAnsi="Times New Roman" w:cs="Times New Roman"/>
          <w:spacing w:val="4"/>
        </w:rPr>
        <w:t xml:space="preserve"> associated with this area.</w:t>
      </w:r>
      <w:r w:rsidRPr="00F45B80" w:rsidDel="006B04B6">
        <w:rPr>
          <w:rFonts w:ascii="Times New Roman" w:hAnsi="Times New Roman" w:cs="Times New Roman"/>
          <w:spacing w:val="4"/>
        </w:rPr>
        <w:t xml:space="preserve"> </w:t>
      </w:r>
      <w:r w:rsidRPr="00F45B80">
        <w:rPr>
          <w:rFonts w:ascii="Times New Roman" w:hAnsi="Times New Roman" w:cs="Times New Roman"/>
          <w:spacing w:val="4"/>
        </w:rPr>
        <w:t>The Division</w:t>
      </w:r>
      <w:r w:rsidRPr="00F45B80">
        <w:rPr>
          <w:rFonts w:ascii="Times New Roman" w:hAnsi="Times New Roman" w:cs="Times New Roman"/>
        </w:rPr>
        <w:t xml:space="preserve"> fully supports the Altoona College statement</w:t>
      </w:r>
      <w:r w:rsidRPr="00F45B80">
        <w:rPr>
          <w:rFonts w:ascii="Times New Roman" w:hAnsi="Times New Roman" w:cs="Times New Roman"/>
          <w:spacing w:val="12"/>
        </w:rPr>
        <w:t xml:space="preserve"> encouraging innovative and interdisciplinary ways for faculty to realize </w:t>
      </w:r>
      <w:r w:rsidRPr="00F45B80">
        <w:rPr>
          <w:rFonts w:ascii="Times New Roman" w:hAnsi="Times New Roman" w:cs="Times New Roman"/>
          <w:spacing w:val="1"/>
        </w:rPr>
        <w:t>professional growth and achievement.</w:t>
      </w:r>
    </w:p>
    <w:p w14:paraId="117E1E74" w14:textId="77777777" w:rsidR="00AF3536" w:rsidRPr="00F45B80" w:rsidRDefault="00AF3536" w:rsidP="00AF3536">
      <w:pPr>
        <w:spacing w:after="0"/>
        <w:rPr>
          <w:rFonts w:ascii="Times New Roman" w:hAnsi="Times New Roman" w:cs="Times New Roman"/>
          <w:spacing w:val="1"/>
        </w:rPr>
      </w:pPr>
    </w:p>
    <w:p w14:paraId="4059781A" w14:textId="77777777" w:rsidR="00AF3536" w:rsidRPr="00F45B80" w:rsidRDefault="00AF3536" w:rsidP="00AF3536">
      <w:pPr>
        <w:spacing w:after="0"/>
        <w:rPr>
          <w:rFonts w:ascii="Times New Roman" w:hAnsi="Times New Roman" w:cs="Times New Roman"/>
          <w:b/>
          <w:bCs/>
          <w:spacing w:val="10"/>
          <w:u w:val="single"/>
        </w:rPr>
      </w:pPr>
      <w:r w:rsidRPr="00F45B80">
        <w:rPr>
          <w:rFonts w:ascii="Times New Roman" w:hAnsi="Times New Roman" w:cs="Times New Roman"/>
          <w:b/>
          <w:bCs/>
          <w:spacing w:val="10"/>
          <w:u w:val="single"/>
        </w:rPr>
        <w:t>Service and the Scholarship of Service to the University, Society, and the Profession</w:t>
      </w:r>
    </w:p>
    <w:p w14:paraId="436157E2" w14:textId="77777777" w:rsidR="00AF3536" w:rsidRPr="00F45B80" w:rsidRDefault="00AF3536" w:rsidP="00AF3536">
      <w:pPr>
        <w:spacing w:after="0"/>
        <w:ind w:firstLine="18"/>
        <w:rPr>
          <w:rFonts w:ascii="Times New Roman" w:hAnsi="Times New Roman" w:cs="Times New Roman"/>
        </w:rPr>
      </w:pPr>
      <w:r w:rsidRPr="00F45B80">
        <w:rPr>
          <w:rFonts w:ascii="Times New Roman" w:hAnsi="Times New Roman" w:cs="Times New Roman"/>
        </w:rPr>
        <w:t>The Division values service as part of a long-term professional trajectory for faculty. Service comes in many forms but primarily falls into four categories: service to the institution, community and civic engagement, community outreach, and service to the discipline or profession. The</w:t>
      </w:r>
      <w:hyperlink r:id="rId12" w:history="1">
        <w:r w:rsidRPr="00F45B80">
          <w:rPr>
            <w:rStyle w:val="Hyperlink"/>
            <w:rFonts w:ascii="Times New Roman" w:hAnsi="Times New Roman" w:cs="Times New Roman"/>
          </w:rPr>
          <w:t xml:space="preserve"> Division’s statement on </w:t>
        </w:r>
        <w:r w:rsidRPr="00F45B80">
          <w:rPr>
            <w:rStyle w:val="Hyperlink"/>
            <w:rFonts w:ascii="Times New Roman" w:hAnsi="Times New Roman" w:cs="Times New Roman"/>
          </w:rPr>
          <w:lastRenderedPageBreak/>
          <w:t>Service and the Scholarship of Service to the University, Society, and the Profession</w:t>
        </w:r>
      </w:hyperlink>
      <w:r w:rsidRPr="00F45B80">
        <w:rPr>
          <w:rFonts w:ascii="Times New Roman" w:hAnsi="Times New Roman" w:cs="Times New Roman"/>
        </w:rPr>
        <w:t xml:space="preserve"> provides guidance. The scope (e.g., short-term or ongoing), the method of attainment (e.g., elected, invited, volunteered), the leadership potential (e.g., member or chair), and the impactful nature (e.g., robust participation versus mere attendance) are all considered in the evaluation of the faculty member’s service commitments. Ultimately, the Division does not view service as a series of disconnected actions or “add-ons” to a busy schedule. It is viewed as an essential part of a well-functioning academic unit, College and University. </w:t>
      </w:r>
    </w:p>
    <w:p w14:paraId="2F9912A9" w14:textId="77777777" w:rsidR="00AF3536" w:rsidRPr="00F45B80" w:rsidRDefault="00AF3536" w:rsidP="00AF3536">
      <w:pPr>
        <w:rPr>
          <w:rFonts w:ascii="Times New Roman" w:hAnsi="Times New Roman" w:cs="Times New Roman"/>
          <w:spacing w:val="1"/>
        </w:rPr>
      </w:pPr>
    </w:p>
    <w:p w14:paraId="362DCC84" w14:textId="77777777" w:rsidR="0039002E" w:rsidRPr="00F45B80" w:rsidRDefault="0039002E" w:rsidP="0039002E">
      <w:pPr>
        <w:spacing w:before="100" w:beforeAutospacing="1"/>
        <w:ind w:firstLine="14"/>
        <w:rPr>
          <w:rFonts w:ascii="Times New Roman" w:hAnsi="Times New Roman" w:cs="Times New Roman"/>
          <w:b/>
          <w:bCs/>
        </w:rPr>
      </w:pPr>
      <w:r w:rsidRPr="00F45B80">
        <w:rPr>
          <w:rFonts w:ascii="Times New Roman" w:hAnsi="Times New Roman" w:cs="Times New Roman"/>
          <w:b/>
          <w:bCs/>
          <w:spacing w:val="1"/>
        </w:rPr>
        <w:t>DIVISION PROMOTION AND TENURE REVIEW COMMITTEE</w:t>
      </w:r>
      <w:r w:rsidRPr="00F45B80">
        <w:rPr>
          <w:rFonts w:ascii="Times New Roman" w:hAnsi="Times New Roman" w:cs="Times New Roman"/>
          <w:b/>
          <w:bCs/>
          <w:spacing w:val="1"/>
        </w:rPr>
        <w:br/>
      </w:r>
      <w:r w:rsidRPr="00F45B80">
        <w:rPr>
          <w:rFonts w:ascii="Times New Roman" w:hAnsi="Times New Roman" w:cs="Times New Roman"/>
          <w:b/>
          <w:bCs/>
        </w:rPr>
        <w:t>COMPOSITION</w:t>
      </w:r>
    </w:p>
    <w:p w14:paraId="160BB015" w14:textId="77777777" w:rsidR="0039002E" w:rsidRPr="00F45B80" w:rsidRDefault="0039002E" w:rsidP="0039002E">
      <w:pPr>
        <w:spacing w:before="100" w:beforeAutospacing="1"/>
        <w:ind w:firstLine="14"/>
        <w:rPr>
          <w:rFonts w:ascii="Times New Roman" w:hAnsi="Times New Roman" w:cs="Times New Roman"/>
          <w:spacing w:val="1"/>
        </w:rPr>
      </w:pPr>
      <w:r w:rsidRPr="00F45B80">
        <w:rPr>
          <w:rFonts w:ascii="Times New Roman" w:hAnsi="Times New Roman" w:cs="Times New Roman"/>
          <w:spacing w:val="5"/>
        </w:rPr>
        <w:t xml:space="preserve">As mandated by the Altoona College Promotion and Tenure Policy, the Division will </w:t>
      </w:r>
      <w:r w:rsidRPr="00F45B80">
        <w:rPr>
          <w:rFonts w:ascii="Times New Roman" w:hAnsi="Times New Roman" w:cs="Times New Roman"/>
          <w:spacing w:val="4"/>
        </w:rPr>
        <w:t xml:space="preserve">form a Promotion and Tenure Review Committee by the second week in April. All </w:t>
      </w:r>
      <w:r w:rsidRPr="00F45B80">
        <w:rPr>
          <w:rFonts w:ascii="Times New Roman" w:hAnsi="Times New Roman" w:cs="Times New Roman"/>
          <w:spacing w:val="-2"/>
        </w:rPr>
        <w:t xml:space="preserve">eligible Division Faculty members will be asked to indicate if they would be willing or </w:t>
      </w:r>
      <w:r w:rsidRPr="00F45B80">
        <w:rPr>
          <w:rFonts w:ascii="Times New Roman" w:hAnsi="Times New Roman" w:cs="Times New Roman"/>
          <w:spacing w:val="4"/>
        </w:rPr>
        <w:t xml:space="preserve">unable to serve, and from the willing faculty a committee will be elected within the </w:t>
      </w:r>
      <w:r w:rsidRPr="00F45B80">
        <w:rPr>
          <w:rFonts w:ascii="Times New Roman" w:hAnsi="Times New Roman" w:cs="Times New Roman"/>
          <w:spacing w:val="1"/>
        </w:rPr>
        <w:t xml:space="preserve">following constraints: </w:t>
      </w:r>
    </w:p>
    <w:p w14:paraId="596EDE15" w14:textId="77777777" w:rsidR="0039002E" w:rsidRPr="00F45B80" w:rsidRDefault="0039002E" w:rsidP="0039002E">
      <w:pPr>
        <w:widowControl w:val="0"/>
        <w:numPr>
          <w:ilvl w:val="0"/>
          <w:numId w:val="2"/>
        </w:numPr>
        <w:autoSpaceDE w:val="0"/>
        <w:autoSpaceDN w:val="0"/>
        <w:spacing w:before="100" w:beforeAutospacing="1" w:after="0" w:line="240" w:lineRule="auto"/>
        <w:rPr>
          <w:rFonts w:ascii="Times New Roman" w:hAnsi="Times New Roman" w:cs="Times New Roman"/>
          <w:spacing w:val="-1"/>
        </w:rPr>
      </w:pPr>
      <w:r w:rsidRPr="00F45B80">
        <w:rPr>
          <w:rFonts w:ascii="Times New Roman" w:hAnsi="Times New Roman" w:cs="Times New Roman"/>
          <w:spacing w:val="1"/>
        </w:rPr>
        <w:t xml:space="preserve">It will be composed of three members or the odd number greater </w:t>
      </w:r>
      <w:r w:rsidRPr="00F45B80">
        <w:rPr>
          <w:rFonts w:ascii="Times New Roman" w:hAnsi="Times New Roman" w:cs="Times New Roman"/>
          <w:spacing w:val="2"/>
        </w:rPr>
        <w:t xml:space="preserve">than or equal to the number of different disciplines represented among the candidates for </w:t>
      </w:r>
      <w:r w:rsidRPr="00F45B80">
        <w:rPr>
          <w:rFonts w:ascii="Times New Roman" w:hAnsi="Times New Roman" w:cs="Times New Roman"/>
          <w:spacing w:val="-1"/>
        </w:rPr>
        <w:t xml:space="preserve">that year. </w:t>
      </w:r>
    </w:p>
    <w:p w14:paraId="0D4ABE46" w14:textId="77777777" w:rsidR="0039002E" w:rsidRPr="00F45B80" w:rsidRDefault="0039002E" w:rsidP="0039002E">
      <w:pPr>
        <w:widowControl w:val="0"/>
        <w:numPr>
          <w:ilvl w:val="0"/>
          <w:numId w:val="2"/>
        </w:numPr>
        <w:autoSpaceDE w:val="0"/>
        <w:autoSpaceDN w:val="0"/>
        <w:spacing w:before="100" w:beforeAutospacing="1" w:after="0" w:line="240" w:lineRule="auto"/>
        <w:rPr>
          <w:rFonts w:ascii="Times New Roman" w:hAnsi="Times New Roman" w:cs="Times New Roman"/>
          <w:spacing w:val="3"/>
        </w:rPr>
      </w:pPr>
      <w:r w:rsidRPr="00F45B80">
        <w:rPr>
          <w:rFonts w:ascii="Times New Roman" w:hAnsi="Times New Roman" w:cs="Times New Roman"/>
          <w:spacing w:val="-1"/>
        </w:rPr>
        <w:t xml:space="preserve">The committee must include at least one member, eligible to vote, representing </w:t>
      </w:r>
      <w:r w:rsidRPr="00F45B80">
        <w:rPr>
          <w:rFonts w:ascii="Times New Roman" w:hAnsi="Times New Roman" w:cs="Times New Roman"/>
          <w:spacing w:val="3"/>
        </w:rPr>
        <w:t xml:space="preserve">each candidate's discipline. </w:t>
      </w:r>
    </w:p>
    <w:p w14:paraId="07723376" w14:textId="77777777" w:rsidR="0039002E" w:rsidRPr="00F45B80" w:rsidRDefault="0039002E" w:rsidP="0039002E">
      <w:pPr>
        <w:widowControl w:val="0"/>
        <w:numPr>
          <w:ilvl w:val="0"/>
          <w:numId w:val="2"/>
        </w:numPr>
        <w:autoSpaceDE w:val="0"/>
        <w:autoSpaceDN w:val="0"/>
        <w:spacing w:before="100" w:beforeAutospacing="1" w:after="0" w:line="240" w:lineRule="auto"/>
        <w:rPr>
          <w:rFonts w:ascii="Times New Roman" w:hAnsi="Times New Roman" w:cs="Times New Roman"/>
        </w:rPr>
      </w:pPr>
      <w:r w:rsidRPr="00F45B80">
        <w:rPr>
          <w:rFonts w:ascii="Times New Roman" w:hAnsi="Times New Roman" w:cs="Times New Roman"/>
          <w:spacing w:val="3"/>
        </w:rPr>
        <w:t xml:space="preserve">The majority of the committee members must hold the rank </w:t>
      </w:r>
      <w:r w:rsidRPr="00F45B80">
        <w:rPr>
          <w:rFonts w:ascii="Times New Roman" w:hAnsi="Times New Roman" w:cs="Times New Roman"/>
        </w:rPr>
        <w:t xml:space="preserve">of Associate Professor or Professor. All members of the committee must be tenured. </w:t>
      </w:r>
    </w:p>
    <w:p w14:paraId="432CF9E7" w14:textId="77777777" w:rsidR="0039002E" w:rsidRPr="00F45B80" w:rsidRDefault="0039002E" w:rsidP="0039002E">
      <w:pPr>
        <w:widowControl w:val="0"/>
        <w:numPr>
          <w:ilvl w:val="0"/>
          <w:numId w:val="2"/>
        </w:numPr>
        <w:autoSpaceDE w:val="0"/>
        <w:autoSpaceDN w:val="0"/>
        <w:spacing w:before="100" w:beforeAutospacing="1" w:after="0" w:line="240" w:lineRule="auto"/>
        <w:rPr>
          <w:rFonts w:ascii="Times New Roman" w:hAnsi="Times New Roman" w:cs="Times New Roman"/>
          <w:spacing w:val="4"/>
        </w:rPr>
      </w:pPr>
      <w:r w:rsidRPr="00F45B80">
        <w:rPr>
          <w:rFonts w:ascii="Times New Roman" w:hAnsi="Times New Roman" w:cs="Times New Roman"/>
        </w:rPr>
        <w:t xml:space="preserve">For evaluation of candidates seeking promotion, only members of higher ranks may vote, and </w:t>
      </w:r>
      <w:r w:rsidRPr="00F45B80">
        <w:rPr>
          <w:rFonts w:ascii="Times New Roman" w:hAnsi="Times New Roman" w:cs="Times New Roman"/>
          <w:spacing w:val="4"/>
        </w:rPr>
        <w:t xml:space="preserve">there must be at least three members eligible to vote. </w:t>
      </w:r>
    </w:p>
    <w:p w14:paraId="2F7BEA10" w14:textId="77777777" w:rsidR="0039002E" w:rsidRPr="00F45B80" w:rsidRDefault="0039002E" w:rsidP="0039002E">
      <w:pPr>
        <w:widowControl w:val="0"/>
        <w:numPr>
          <w:ilvl w:val="0"/>
          <w:numId w:val="2"/>
        </w:numPr>
        <w:autoSpaceDE w:val="0"/>
        <w:autoSpaceDN w:val="0"/>
        <w:spacing w:before="100" w:beforeAutospacing="1" w:after="0" w:line="240" w:lineRule="auto"/>
        <w:rPr>
          <w:rFonts w:ascii="Times New Roman" w:hAnsi="Times New Roman" w:cs="Times New Roman"/>
        </w:rPr>
      </w:pPr>
      <w:r w:rsidRPr="00F45B80">
        <w:rPr>
          <w:rFonts w:ascii="Times New Roman" w:hAnsi="Times New Roman" w:cs="Times New Roman"/>
          <w:spacing w:val="4"/>
        </w:rPr>
        <w:t xml:space="preserve">The Division Head will appoint </w:t>
      </w:r>
      <w:r w:rsidRPr="00F45B80">
        <w:rPr>
          <w:rFonts w:ascii="Times New Roman" w:hAnsi="Times New Roman" w:cs="Times New Roman"/>
          <w:spacing w:val="3"/>
        </w:rPr>
        <w:t xml:space="preserve">committee members from outside the Division, if necessary, to meet these requirements </w:t>
      </w:r>
      <w:r w:rsidRPr="00F45B80">
        <w:rPr>
          <w:rFonts w:ascii="Times New Roman" w:hAnsi="Times New Roman" w:cs="Times New Roman"/>
        </w:rPr>
        <w:t>or to replace elected members who are unable to serve.</w:t>
      </w:r>
    </w:p>
    <w:p w14:paraId="3FCF24CE" w14:textId="77777777" w:rsidR="0039002E" w:rsidRPr="00F45B80" w:rsidRDefault="0039002E" w:rsidP="0039002E">
      <w:pPr>
        <w:widowControl w:val="0"/>
        <w:numPr>
          <w:ilvl w:val="0"/>
          <w:numId w:val="2"/>
        </w:numPr>
        <w:autoSpaceDE w:val="0"/>
        <w:autoSpaceDN w:val="0"/>
        <w:spacing w:before="100" w:beforeAutospacing="1" w:after="0" w:line="240" w:lineRule="auto"/>
        <w:rPr>
          <w:rFonts w:ascii="Times New Roman" w:hAnsi="Times New Roman" w:cs="Times New Roman"/>
        </w:rPr>
      </w:pPr>
      <w:r w:rsidRPr="00F45B80">
        <w:rPr>
          <w:rFonts w:ascii="Times New Roman" w:hAnsi="Times New Roman" w:cs="Times New Roman"/>
        </w:rPr>
        <w:t>Only standing tenure-line faculty are eligible to vote.</w:t>
      </w:r>
    </w:p>
    <w:p w14:paraId="08C3C722" w14:textId="77777777" w:rsidR="0039002E" w:rsidRPr="00F45B80" w:rsidRDefault="0039002E" w:rsidP="0039002E">
      <w:pPr>
        <w:widowControl w:val="0"/>
        <w:numPr>
          <w:ilvl w:val="0"/>
          <w:numId w:val="2"/>
        </w:numPr>
        <w:autoSpaceDE w:val="0"/>
        <w:autoSpaceDN w:val="0"/>
        <w:spacing w:before="100" w:beforeAutospacing="1" w:after="0" w:line="240" w:lineRule="auto"/>
        <w:rPr>
          <w:rFonts w:ascii="Times New Roman" w:hAnsi="Times New Roman" w:cs="Times New Roman"/>
        </w:rPr>
      </w:pPr>
      <w:r w:rsidRPr="00F45B80">
        <w:rPr>
          <w:rFonts w:ascii="Times New Roman" w:hAnsi="Times New Roman" w:cs="Times New Roman"/>
        </w:rPr>
        <w:t>The candidate receiving the greatest number of votes will serve on the committee. In the event multiple seats are open, those receiving the next highest vote totals will also serve on the committee.</w:t>
      </w:r>
    </w:p>
    <w:p w14:paraId="59BB2417" w14:textId="77777777" w:rsidR="0039002E" w:rsidRPr="00F45B80" w:rsidRDefault="0039002E" w:rsidP="0039002E">
      <w:pPr>
        <w:widowControl w:val="0"/>
        <w:numPr>
          <w:ilvl w:val="0"/>
          <w:numId w:val="2"/>
        </w:numPr>
        <w:autoSpaceDE w:val="0"/>
        <w:autoSpaceDN w:val="0"/>
        <w:spacing w:before="100" w:beforeAutospacing="1" w:after="0" w:line="240" w:lineRule="auto"/>
        <w:rPr>
          <w:rFonts w:ascii="Times New Roman" w:hAnsi="Times New Roman" w:cs="Times New Roman"/>
        </w:rPr>
      </w:pPr>
      <w:r w:rsidRPr="00F45B80">
        <w:rPr>
          <w:rFonts w:ascii="Times New Roman" w:hAnsi="Times New Roman" w:cs="Times New Roman"/>
        </w:rPr>
        <w:t>In the event of a tie, a second vote by standing tenure-line faculty will select the candidate. Should a tie remain after this vote, the Division Head will select from the remaining candidates.</w:t>
      </w:r>
    </w:p>
    <w:p w14:paraId="37C6EE5F" w14:textId="77777777" w:rsidR="0039002E" w:rsidRPr="00F45B80" w:rsidRDefault="0039002E" w:rsidP="0039002E">
      <w:pPr>
        <w:widowControl w:val="0"/>
        <w:numPr>
          <w:ilvl w:val="0"/>
          <w:numId w:val="2"/>
        </w:numPr>
        <w:autoSpaceDE w:val="0"/>
        <w:autoSpaceDN w:val="0"/>
        <w:spacing w:before="100" w:beforeAutospacing="1" w:after="0" w:line="240" w:lineRule="auto"/>
        <w:rPr>
          <w:rFonts w:ascii="Times New Roman" w:hAnsi="Times New Roman" w:cs="Times New Roman"/>
        </w:rPr>
      </w:pPr>
      <w:r w:rsidRPr="00F45B80">
        <w:rPr>
          <w:rFonts w:ascii="Times New Roman" w:hAnsi="Times New Roman" w:cs="Times New Roman"/>
        </w:rPr>
        <w:t>Committee terms are for one promotion and tenure cycle.</w:t>
      </w:r>
    </w:p>
    <w:p w14:paraId="1EF4F37D" w14:textId="27A53086" w:rsidR="0039002E" w:rsidRPr="00F45B80" w:rsidRDefault="0039002E" w:rsidP="0039002E">
      <w:pPr>
        <w:widowControl w:val="0"/>
        <w:numPr>
          <w:ilvl w:val="0"/>
          <w:numId w:val="2"/>
        </w:numPr>
        <w:autoSpaceDE w:val="0"/>
        <w:autoSpaceDN w:val="0"/>
        <w:spacing w:before="100" w:beforeAutospacing="1" w:after="0" w:line="240" w:lineRule="auto"/>
        <w:rPr>
          <w:rFonts w:ascii="Times New Roman" w:hAnsi="Times New Roman" w:cs="Times New Roman"/>
        </w:rPr>
      </w:pPr>
      <w:r w:rsidRPr="00F45B80">
        <w:rPr>
          <w:rFonts w:ascii="Times New Roman" w:hAnsi="Times New Roman" w:cs="Times New Roman"/>
          <w:color w:val="000000"/>
        </w:rPr>
        <w:t>Faculty members on leave of absence, including sabbatical leave, are prohibited from serving on promotion and tenure committees</w:t>
      </w:r>
      <w:r w:rsidR="00734B2C" w:rsidRPr="00F45B80">
        <w:rPr>
          <w:rFonts w:ascii="Times New Roman" w:hAnsi="Times New Roman" w:cs="Times New Roman"/>
          <w:color w:val="000000"/>
        </w:rPr>
        <w:t>.</w:t>
      </w:r>
    </w:p>
    <w:p w14:paraId="73768C0C" w14:textId="77777777" w:rsidR="0039002E" w:rsidRPr="00F45B80" w:rsidRDefault="0039002E" w:rsidP="0039002E">
      <w:pPr>
        <w:spacing w:after="0" w:line="240" w:lineRule="auto"/>
        <w:rPr>
          <w:rFonts w:ascii="Times New Roman" w:hAnsi="Times New Roman" w:cs="Times New Roman"/>
          <w:spacing w:val="1"/>
        </w:rPr>
      </w:pPr>
    </w:p>
    <w:p w14:paraId="3FC06ADB" w14:textId="77777777" w:rsidR="0039002E" w:rsidRPr="00F45B80" w:rsidRDefault="0039002E" w:rsidP="0039002E">
      <w:pPr>
        <w:spacing w:after="0" w:line="240" w:lineRule="auto"/>
        <w:ind w:right="288" w:firstLine="14"/>
        <w:rPr>
          <w:rFonts w:ascii="Times New Roman" w:hAnsi="Times New Roman" w:cs="Times New Roman"/>
          <w:b/>
          <w:bCs/>
          <w:i/>
          <w:iCs/>
        </w:rPr>
      </w:pPr>
    </w:p>
    <w:p w14:paraId="73F49907" w14:textId="28C5F783" w:rsidR="0039002E" w:rsidRPr="00F45B80" w:rsidRDefault="0039002E" w:rsidP="0039002E">
      <w:pPr>
        <w:spacing w:after="0" w:line="240" w:lineRule="auto"/>
        <w:ind w:right="288" w:firstLine="14"/>
        <w:rPr>
          <w:rFonts w:ascii="Times New Roman" w:hAnsi="Times New Roman" w:cs="Times New Roman"/>
          <w:b/>
          <w:bCs/>
          <w:i/>
          <w:iCs/>
        </w:rPr>
      </w:pPr>
      <w:r w:rsidRPr="00F45B80">
        <w:rPr>
          <w:rFonts w:ascii="Times New Roman" w:hAnsi="Times New Roman" w:cs="Times New Roman"/>
          <w:b/>
          <w:bCs/>
          <w:i/>
          <w:iCs/>
        </w:rPr>
        <w:t xml:space="preserve">Division Promotion and Tenure Review Committee Composition Guidelines </w:t>
      </w:r>
    </w:p>
    <w:p w14:paraId="099F8A72" w14:textId="77777777" w:rsidR="0039002E" w:rsidRPr="00F45B80" w:rsidRDefault="0039002E" w:rsidP="0039002E">
      <w:pPr>
        <w:spacing w:after="0" w:line="240" w:lineRule="auto"/>
        <w:ind w:right="288" w:firstLine="14"/>
        <w:rPr>
          <w:rFonts w:ascii="Times New Roman" w:hAnsi="Times New Roman" w:cs="Times New Roman"/>
          <w:i/>
          <w:iCs/>
          <w:sz w:val="20"/>
          <w:szCs w:val="20"/>
        </w:rPr>
      </w:pPr>
      <w:r w:rsidRPr="00F45B80">
        <w:rPr>
          <w:rFonts w:ascii="Times New Roman" w:hAnsi="Times New Roman" w:cs="Times New Roman"/>
          <w:i/>
          <w:iCs/>
          <w:sz w:val="20"/>
          <w:szCs w:val="20"/>
        </w:rPr>
        <w:t>Revised and Approved April 2000</w:t>
      </w:r>
    </w:p>
    <w:p w14:paraId="488EF647" w14:textId="77777777" w:rsidR="0039002E" w:rsidRPr="00F45B80" w:rsidRDefault="0039002E" w:rsidP="0039002E">
      <w:pPr>
        <w:spacing w:after="0" w:line="240" w:lineRule="auto"/>
        <w:ind w:firstLine="18"/>
        <w:rPr>
          <w:rFonts w:ascii="Times New Roman" w:hAnsi="Times New Roman" w:cs="Times New Roman"/>
          <w:i/>
          <w:iCs/>
          <w:spacing w:val="3"/>
          <w:sz w:val="20"/>
          <w:szCs w:val="20"/>
        </w:rPr>
      </w:pPr>
      <w:r w:rsidRPr="00F45B80">
        <w:rPr>
          <w:rFonts w:ascii="Times New Roman" w:hAnsi="Times New Roman" w:cs="Times New Roman"/>
          <w:i/>
          <w:iCs/>
          <w:spacing w:val="3"/>
          <w:sz w:val="20"/>
          <w:szCs w:val="20"/>
        </w:rPr>
        <w:t>Revised and Approved November 2002</w:t>
      </w:r>
    </w:p>
    <w:p w14:paraId="2F8AEAD8" w14:textId="77777777" w:rsidR="0039002E" w:rsidRPr="00F45B80" w:rsidRDefault="0039002E" w:rsidP="0039002E">
      <w:pPr>
        <w:spacing w:after="0" w:line="240" w:lineRule="auto"/>
        <w:ind w:firstLine="18"/>
        <w:rPr>
          <w:rFonts w:ascii="Times New Roman" w:hAnsi="Times New Roman" w:cs="Times New Roman"/>
          <w:i/>
          <w:iCs/>
          <w:spacing w:val="3"/>
          <w:sz w:val="20"/>
          <w:szCs w:val="20"/>
        </w:rPr>
      </w:pPr>
      <w:r w:rsidRPr="00F45B80">
        <w:rPr>
          <w:rFonts w:ascii="Times New Roman" w:hAnsi="Times New Roman" w:cs="Times New Roman"/>
          <w:i/>
          <w:iCs/>
          <w:spacing w:val="3"/>
          <w:sz w:val="20"/>
          <w:szCs w:val="20"/>
        </w:rPr>
        <w:t>Revised and Approved February 2017</w:t>
      </w:r>
    </w:p>
    <w:p w14:paraId="7F602D44" w14:textId="77777777" w:rsidR="0039002E" w:rsidRPr="00F45B80" w:rsidRDefault="0039002E" w:rsidP="0039002E">
      <w:pPr>
        <w:spacing w:after="0" w:line="240" w:lineRule="auto"/>
        <w:ind w:firstLine="18"/>
        <w:rPr>
          <w:rFonts w:ascii="Times New Roman" w:hAnsi="Times New Roman" w:cs="Times New Roman"/>
          <w:i/>
          <w:iCs/>
          <w:spacing w:val="3"/>
          <w:sz w:val="20"/>
          <w:szCs w:val="20"/>
        </w:rPr>
      </w:pPr>
      <w:r w:rsidRPr="00F45B80">
        <w:rPr>
          <w:rFonts w:ascii="Times New Roman" w:hAnsi="Times New Roman" w:cs="Times New Roman"/>
          <w:i/>
          <w:iCs/>
          <w:spacing w:val="3"/>
          <w:sz w:val="20"/>
          <w:szCs w:val="20"/>
        </w:rPr>
        <w:t>Revised and Approved May 2017</w:t>
      </w:r>
    </w:p>
    <w:p w14:paraId="27B590E0" w14:textId="77777777" w:rsidR="0039002E" w:rsidRPr="00F45B80" w:rsidRDefault="0039002E" w:rsidP="0039002E">
      <w:pPr>
        <w:spacing w:after="0" w:line="240" w:lineRule="auto"/>
        <w:ind w:firstLine="18"/>
        <w:rPr>
          <w:rFonts w:ascii="Times New Roman" w:hAnsi="Times New Roman" w:cs="Times New Roman"/>
          <w:i/>
          <w:iCs/>
          <w:spacing w:val="3"/>
          <w:sz w:val="20"/>
          <w:szCs w:val="20"/>
        </w:rPr>
      </w:pPr>
      <w:r w:rsidRPr="00F45B80">
        <w:rPr>
          <w:rFonts w:ascii="Times New Roman" w:hAnsi="Times New Roman" w:cs="Times New Roman"/>
          <w:i/>
          <w:iCs/>
          <w:spacing w:val="3"/>
          <w:sz w:val="20"/>
          <w:szCs w:val="20"/>
        </w:rPr>
        <w:t>Revised and Approved February 8, 2018</w:t>
      </w:r>
    </w:p>
    <w:p w14:paraId="715ACA22" w14:textId="083E21D0" w:rsidR="00AF3536" w:rsidRPr="0025060E" w:rsidRDefault="00B83A8C" w:rsidP="00DD7DDF">
      <w:pPr>
        <w:spacing w:after="0" w:line="240" w:lineRule="auto"/>
        <w:ind w:firstLine="18"/>
        <w:rPr>
          <w:rFonts w:ascii="Times New Roman" w:hAnsi="Times New Roman" w:cs="Times New Roman"/>
          <w:i/>
          <w:iCs/>
          <w:spacing w:val="3"/>
          <w:sz w:val="20"/>
          <w:szCs w:val="20"/>
        </w:rPr>
      </w:pPr>
      <w:r w:rsidRPr="00F45B80">
        <w:rPr>
          <w:rFonts w:ascii="Times New Roman" w:hAnsi="Times New Roman" w:cs="Times New Roman"/>
          <w:i/>
          <w:iCs/>
          <w:spacing w:val="3"/>
          <w:sz w:val="20"/>
          <w:szCs w:val="20"/>
        </w:rPr>
        <w:t>Updated May 25,2023</w:t>
      </w:r>
    </w:p>
    <w:sectPr w:rsidR="00AF3536" w:rsidRPr="002506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FEF0" w14:textId="77777777" w:rsidR="00B345E9" w:rsidRDefault="00B345E9" w:rsidP="00AF3536">
      <w:pPr>
        <w:spacing w:after="0" w:line="240" w:lineRule="auto"/>
      </w:pPr>
      <w:r>
        <w:separator/>
      </w:r>
    </w:p>
  </w:endnote>
  <w:endnote w:type="continuationSeparator" w:id="0">
    <w:p w14:paraId="2FECF3BA" w14:textId="77777777" w:rsidR="00B345E9" w:rsidRDefault="00B345E9" w:rsidP="00AF3536">
      <w:pPr>
        <w:spacing w:after="0" w:line="240" w:lineRule="auto"/>
      </w:pPr>
      <w:r>
        <w:continuationSeparator/>
      </w:r>
    </w:p>
  </w:endnote>
  <w:endnote w:id="1">
    <w:p w14:paraId="14D3CC80" w14:textId="2105DCF3" w:rsidR="00AF3536" w:rsidRPr="008568B6" w:rsidRDefault="00AF3536" w:rsidP="00AF3536">
      <w:pPr>
        <w:pStyle w:val="EndnoteText"/>
        <w:rPr>
          <w:sz w:val="20"/>
          <w:szCs w:val="20"/>
        </w:rPr>
      </w:pPr>
      <w:r>
        <w:rPr>
          <w:rStyle w:val="EndnoteReference"/>
        </w:rPr>
        <w:endnoteRef/>
      </w:r>
      <w:r>
        <w:t xml:space="preserve"> </w:t>
      </w:r>
      <w:r w:rsidRPr="008568B6">
        <w:rPr>
          <w:sz w:val="20"/>
          <w:szCs w:val="20"/>
        </w:rPr>
        <w:t xml:space="preserve">For faculty resources specific to this process, see </w:t>
      </w:r>
      <w:hyperlink r:id="rId1" w:history="1">
        <w:r w:rsidRPr="00911761">
          <w:rPr>
            <w:rStyle w:val="Hyperlink"/>
            <w:sz w:val="20"/>
            <w:szCs w:val="20"/>
          </w:rPr>
          <w:t>here</w:t>
        </w:r>
      </w:hyperlink>
      <w:r w:rsidRPr="008568B6">
        <w:rPr>
          <w:sz w:val="20"/>
          <w:szCs w:val="20"/>
        </w:rPr>
        <w:t xml:space="preserve"> for the Division policies and </w:t>
      </w:r>
      <w:hyperlink r:id="rId2" w:history="1">
        <w:r w:rsidRPr="00911761">
          <w:rPr>
            <w:rStyle w:val="Hyperlink"/>
            <w:sz w:val="20"/>
            <w:szCs w:val="20"/>
          </w:rPr>
          <w:t>here</w:t>
        </w:r>
      </w:hyperlink>
      <w:r w:rsidRPr="008568B6">
        <w:rPr>
          <w:sz w:val="20"/>
          <w:szCs w:val="20"/>
        </w:rPr>
        <w:t xml:space="preserve"> for the College polices.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571E" w14:textId="77777777" w:rsidR="00B345E9" w:rsidRDefault="00B345E9" w:rsidP="00AF3536">
      <w:pPr>
        <w:spacing w:after="0" w:line="240" w:lineRule="auto"/>
      </w:pPr>
      <w:r>
        <w:separator/>
      </w:r>
    </w:p>
  </w:footnote>
  <w:footnote w:type="continuationSeparator" w:id="0">
    <w:p w14:paraId="776E28F2" w14:textId="77777777" w:rsidR="00B345E9" w:rsidRDefault="00B345E9" w:rsidP="00AF3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B1C3E"/>
    <w:multiLevelType w:val="hybridMultilevel"/>
    <w:tmpl w:val="FF3C6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E4D36"/>
    <w:multiLevelType w:val="hybridMultilevel"/>
    <w:tmpl w:val="C820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471035">
    <w:abstractNumId w:val="0"/>
  </w:num>
  <w:num w:numId="2" w16cid:durableId="1713143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6"/>
    <w:rsid w:val="000F461D"/>
    <w:rsid w:val="0025060E"/>
    <w:rsid w:val="002A3219"/>
    <w:rsid w:val="002F4B86"/>
    <w:rsid w:val="0039002E"/>
    <w:rsid w:val="003D538B"/>
    <w:rsid w:val="006B6FE1"/>
    <w:rsid w:val="00734B2C"/>
    <w:rsid w:val="008B5900"/>
    <w:rsid w:val="008E1EC1"/>
    <w:rsid w:val="00911761"/>
    <w:rsid w:val="00AF3536"/>
    <w:rsid w:val="00B345E9"/>
    <w:rsid w:val="00B83A8C"/>
    <w:rsid w:val="00CC1C70"/>
    <w:rsid w:val="00DD7DDF"/>
    <w:rsid w:val="00F4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7EA2"/>
  <w15:chartTrackingRefBased/>
  <w15:docId w15:val="{F51EDA73-3759-4E42-8299-0CCC4DEA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36"/>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536"/>
    <w:pPr>
      <w:ind w:left="720"/>
      <w:contextualSpacing/>
    </w:pPr>
  </w:style>
  <w:style w:type="character" w:styleId="Hyperlink">
    <w:name w:val="Hyperlink"/>
    <w:rsid w:val="00AF3536"/>
    <w:rPr>
      <w:color w:val="0000FF"/>
      <w:u w:val="single"/>
    </w:rPr>
  </w:style>
  <w:style w:type="paragraph" w:styleId="EndnoteText">
    <w:name w:val="endnote text"/>
    <w:basedOn w:val="Normal"/>
    <w:link w:val="EndnoteTextChar"/>
    <w:rsid w:val="00AF35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AF3536"/>
    <w:rPr>
      <w:rFonts w:ascii="Times New Roman" w:eastAsia="Times New Roman" w:hAnsi="Times New Roman" w:cs="Times New Roman"/>
      <w:kern w:val="0"/>
      <w14:ligatures w14:val="none"/>
    </w:rPr>
  </w:style>
  <w:style w:type="character" w:styleId="EndnoteReference">
    <w:name w:val="endnote reference"/>
    <w:rsid w:val="00AF3536"/>
    <w:rPr>
      <w:vertAlign w:val="superscript"/>
    </w:rPr>
  </w:style>
  <w:style w:type="character" w:styleId="FollowedHyperlink">
    <w:name w:val="FollowedHyperlink"/>
    <w:basedOn w:val="DefaultParagraphFont"/>
    <w:uiPriority w:val="99"/>
    <w:semiHidden/>
    <w:unhideWhenUsed/>
    <w:rsid w:val="0039002E"/>
    <w:rPr>
      <w:color w:val="954F72" w:themeColor="followedHyperlink"/>
      <w:u w:val="single"/>
    </w:rPr>
  </w:style>
  <w:style w:type="character" w:styleId="UnresolvedMention">
    <w:name w:val="Unresolved Mention"/>
    <w:basedOn w:val="DefaultParagraphFont"/>
    <w:uiPriority w:val="99"/>
    <w:semiHidden/>
    <w:unhideWhenUsed/>
    <w:rsid w:val="008E1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psu.edu/policies/ac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y.psu.edu/policies/ac21" TargetMode="External"/><Relationship Id="rId12" Type="http://schemas.openxmlformats.org/officeDocument/2006/relationships/hyperlink" Target="http://www.altoona.psu.edu/ehdss/facultyresourc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oona.psu.edu/ehdss/facultyresources.php" TargetMode="External"/><Relationship Id="rId5" Type="http://schemas.openxmlformats.org/officeDocument/2006/relationships/footnotes" Target="footnotes.xml"/><Relationship Id="rId10" Type="http://schemas.openxmlformats.org/officeDocument/2006/relationships/hyperlink" Target="https://altoona.psu.edu/offices-divisions/academic-affairs/promotion-tenure/education-human-development-social-sciences/guidelines-peer-evaluation-teaching-effectiveness" TargetMode="External"/><Relationship Id="rId4" Type="http://schemas.openxmlformats.org/officeDocument/2006/relationships/webSettings" Target="webSettings.xml"/><Relationship Id="rId9" Type="http://schemas.openxmlformats.org/officeDocument/2006/relationships/hyperlink" Target="https://altoona.psu.edu/offices-divisions/academic-affairs/promotion-tenure"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altoona.psu.edu/offices-divisions/academic-affairs/promotion-tenure" TargetMode="External"/><Relationship Id="rId1" Type="http://schemas.openxmlformats.org/officeDocument/2006/relationships/hyperlink" Target="https://altoona.psu.edu/academics/divisions/education-human-development-social-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Haefner, Leigh Ann</dc:creator>
  <cp:keywords/>
  <dc:description/>
  <cp:lastModifiedBy>Angel Goldian</cp:lastModifiedBy>
  <cp:revision>8</cp:revision>
  <dcterms:created xsi:type="dcterms:W3CDTF">2023-05-24T17:39:00Z</dcterms:created>
  <dcterms:modified xsi:type="dcterms:W3CDTF">2023-06-23T18:42:00Z</dcterms:modified>
</cp:coreProperties>
</file>